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Ночь пришла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Ночь пришла,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Темноту привела;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Задремал петушок,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Запел сверчок.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Уже поздно, сынок,</w:t>
      </w:r>
    </w:p>
    <w:p w14:paraId="0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Ложись на бочок,</w:t>
      </w:r>
    </w:p>
    <w:p w14:paraId="08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Баю-бай,</w:t>
      </w:r>
    </w:p>
    <w:p w14:paraId="09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Засыпай...</w:t>
      </w:r>
    </w:p>
    <w:p w14:paraId="0A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2023-06-30T07:33:38Z</dcterms:modified>
</cp:coreProperties>
</file>