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Как без дудки, без дуды</w:t>
      </w:r>
    </w:p>
    <w:p w14:paraId="02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Как без дудки, без дуды</w:t>
      </w:r>
    </w:p>
    <w:p w14:paraId="03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Ходят ноги не туды,</w:t>
      </w:r>
    </w:p>
    <w:p w14:paraId="04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А как дудочку почуют —</w:t>
      </w:r>
    </w:p>
    <w:p w14:paraId="05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Сами ноженьки танцуют.</w:t>
      </w:r>
    </w:p>
    <w:p w14:paraId="06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2023-06-30T07:28:57Z</dcterms:modified>
</cp:coreProperties>
</file>